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line="288" w:lineRule="auto"/>
        <w:jc w:val="both"/>
        <w:rPr>
          <w:rFonts w:ascii="Tahoma" w:cs="Tahoma" w:hAnsi="Tahoma" w:eastAsia="Tahoma"/>
          <w:b w:val="1"/>
          <w:bCs w:val="1"/>
          <w:sz w:val="20"/>
          <w:szCs w:val="2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Gori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č</w:t>
      </w:r>
      <w:r>
        <w:rPr>
          <w:rFonts w:ascii="Tahoma" w:hAnsi="Tahoma"/>
          <w:b w:val="1"/>
          <w:bCs w:val="1"/>
          <w:sz w:val="20"/>
          <w:szCs w:val="20"/>
          <w:rtl w:val="0"/>
        </w:rPr>
        <w:t xml:space="preserve">an,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29</w:t>
      </w:r>
      <w:r>
        <w:rPr>
          <w:rFonts w:ascii="Tahoma" w:hAnsi="Tahoma"/>
          <w:b w:val="1"/>
          <w:bCs w:val="1"/>
          <w:sz w:val="20"/>
          <w:szCs w:val="20"/>
          <w:rtl w:val="0"/>
        </w:rPr>
        <w:t>.0</w:t>
      </w:r>
      <w:r>
        <w:rPr>
          <w:rFonts w:ascii="Tahoma" w:hAnsi="Tahoma"/>
          <w:b w:val="1"/>
          <w:bCs w:val="1"/>
          <w:sz w:val="20"/>
          <w:szCs w:val="20"/>
          <w:rtl w:val="0"/>
        </w:rPr>
        <w:t>9</w:t>
      </w:r>
      <w:r>
        <w:rPr>
          <w:rFonts w:ascii="Tahoma" w:hAnsi="Tahoma"/>
          <w:b w:val="1"/>
          <w:bCs w:val="1"/>
          <w:sz w:val="20"/>
          <w:szCs w:val="20"/>
          <w:rtl w:val="0"/>
        </w:rPr>
        <w:t>.2017.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b w:val="1"/>
          <w:bCs w:val="1"/>
          <w:sz w:val="20"/>
          <w:szCs w:val="20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Nadle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ž</w:t>
      </w:r>
      <w:r>
        <w:rPr>
          <w:rFonts w:ascii="Tahoma" w:hAnsi="Tahoma"/>
          <w:b w:val="1"/>
          <w:bCs w:val="1"/>
          <w:sz w:val="20"/>
          <w:szCs w:val="20"/>
          <w:rtl w:val="0"/>
        </w:rPr>
        <w:t>ni</w:t>
      </w:r>
      <w:r>
        <w:rPr>
          <w:rFonts w:ascii="Tahoma" w:hAnsi="Tahoma"/>
          <w:b w:val="1"/>
          <w:bCs w:val="1"/>
          <w:sz w:val="20"/>
          <w:szCs w:val="20"/>
          <w:rtl w:val="0"/>
        </w:rPr>
        <w:t xml:space="preserve">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trgova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č</w:t>
      </w:r>
      <w:r>
        <w:rPr>
          <w:rFonts w:ascii="Tahoma" w:hAnsi="Tahoma"/>
          <w:b w:val="1"/>
          <w:bCs w:val="1"/>
          <w:sz w:val="20"/>
          <w:szCs w:val="20"/>
          <w:rtl w:val="0"/>
        </w:rPr>
        <w:t>ki</w:t>
      </w:r>
      <w:r>
        <w:rPr>
          <w:rFonts w:ascii="Tahoma" w:hAnsi="Tahoma"/>
          <w:b w:val="1"/>
          <w:bCs w:val="1"/>
          <w:sz w:val="20"/>
          <w:szCs w:val="20"/>
          <w:rtl w:val="0"/>
        </w:rPr>
        <w:t xml:space="preserve">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sud</w:t>
      </w:r>
      <w:r>
        <w:rPr>
          <w:rFonts w:ascii="Tahoma" w:hAnsi="Tahoma"/>
          <w:sz w:val="20"/>
          <w:szCs w:val="20"/>
          <w:rtl w:val="0"/>
        </w:rPr>
        <w:t>:</w:t>
      </w:r>
      <w:r>
        <w:rPr>
          <w:rFonts w:ascii="Tahoma" w:hAnsi="Tahoma"/>
          <w:sz w:val="20"/>
          <w:szCs w:val="20"/>
          <w:rtl w:val="0"/>
        </w:rPr>
        <w:t xml:space="preserve"> </w:t>
        <w:tab/>
        <w:t>Trgova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ki sud u Vara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dinu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Poslovni broj spisa</w:t>
      </w:r>
      <w:r>
        <w:rPr>
          <w:rFonts w:ascii="Tahoma" w:hAnsi="Tahoma"/>
          <w:sz w:val="20"/>
          <w:szCs w:val="20"/>
          <w:rtl w:val="0"/>
        </w:rPr>
        <w:t>:</w:t>
        <w:tab/>
        <w:tab/>
        <w:t>St-452/16</w:t>
      </w:r>
    </w:p>
    <w:p>
      <w:pPr>
        <w:pStyle w:val="Normal.0"/>
        <w:spacing w:line="288" w:lineRule="auto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Du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ž</w:t>
      </w:r>
      <w:r>
        <w:rPr>
          <w:rFonts w:ascii="Tahoma" w:hAnsi="Tahoma"/>
          <w:b w:val="1"/>
          <w:bCs w:val="1"/>
          <w:sz w:val="20"/>
          <w:szCs w:val="20"/>
          <w:rtl w:val="0"/>
        </w:rPr>
        <w:t xml:space="preserve">nik: </w:t>
        <w:tab/>
        <w:tab/>
        <w:tab/>
      </w:r>
      <w:r>
        <w:rPr>
          <w:rFonts w:ascii="Tahoma" w:hAnsi="Tahoma"/>
          <w:sz w:val="20"/>
          <w:szCs w:val="20"/>
          <w:rtl w:val="0"/>
        </w:rPr>
        <w:t xml:space="preserve">KLM HORVAT d.o.o. </w:t>
      </w:r>
      <w:r>
        <w:rPr>
          <w:rFonts w:ascii="Tahoma" w:hAnsi="Tahoma" w:hint="default"/>
          <w:sz w:val="20"/>
          <w:szCs w:val="20"/>
          <w:rtl w:val="0"/>
        </w:rPr>
        <w:t>„</w:t>
      </w:r>
      <w:r>
        <w:rPr>
          <w:rFonts w:ascii="Tahoma" w:hAnsi="Tahoma"/>
          <w:sz w:val="20"/>
          <w:szCs w:val="20"/>
          <w:rtl w:val="0"/>
        </w:rPr>
        <w:t>u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aju</w:t>
      </w:r>
      <w:r>
        <w:rPr>
          <w:rFonts w:ascii="Tahoma" w:hAnsi="Tahoma" w:hint="default"/>
          <w:sz w:val="20"/>
          <w:szCs w:val="20"/>
          <w:rtl w:val="0"/>
        </w:rPr>
        <w:t>“</w:t>
      </w:r>
    </w:p>
    <w:p>
      <w:pPr>
        <w:pStyle w:val="Normal.0"/>
        <w:spacing w:line="288" w:lineRule="auto"/>
        <w:ind w:left="2160" w:firstLine="720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kolska 102, Gori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 xml:space="preserve">an, OIB: 12796096560  </w:t>
      </w:r>
    </w:p>
    <w:p>
      <w:pPr>
        <w:pStyle w:val="Normal.0"/>
        <w:spacing w:line="288" w:lineRule="auto"/>
        <w:ind w:left="708" w:firstLine="708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ind w:left="5040" w:firstLine="720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ind w:left="5040" w:firstLine="720"/>
        <w:rPr>
          <w:rFonts w:ascii="Tahoma" w:cs="Tahoma" w:hAnsi="Tahoma" w:eastAsia="Tahoma"/>
          <w:b w:val="1"/>
          <w:bCs w:val="1"/>
          <w:sz w:val="20"/>
          <w:szCs w:val="2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TRGOVA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Č</w:t>
      </w:r>
      <w:r>
        <w:rPr>
          <w:rFonts w:ascii="Tahoma" w:hAnsi="Tahoma"/>
          <w:b w:val="1"/>
          <w:bCs w:val="1"/>
          <w:sz w:val="20"/>
          <w:szCs w:val="20"/>
          <w:rtl w:val="0"/>
        </w:rPr>
        <w:t>KI SUD U VARA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Ž</w:t>
      </w:r>
      <w:r>
        <w:rPr>
          <w:rFonts w:ascii="Tahoma" w:hAnsi="Tahoma"/>
          <w:b w:val="1"/>
          <w:bCs w:val="1"/>
          <w:sz w:val="20"/>
          <w:szCs w:val="20"/>
          <w:rtl w:val="0"/>
        </w:rPr>
        <w:t>DINU</w:t>
      </w:r>
    </w:p>
    <w:p>
      <w:pPr>
        <w:pStyle w:val="Normal.0"/>
        <w:spacing w:line="288" w:lineRule="auto"/>
        <w:ind w:left="5040" w:firstLine="720"/>
        <w:rPr>
          <w:rFonts w:ascii="Tahoma" w:cs="Tahoma" w:hAnsi="Tahoma" w:eastAsia="Tahoma"/>
          <w:b w:val="1"/>
          <w:bCs w:val="1"/>
          <w:sz w:val="20"/>
          <w:szCs w:val="2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Na br. St-452/16</w:t>
      </w:r>
    </w:p>
    <w:p>
      <w:pPr>
        <w:pStyle w:val="Normal.0"/>
        <w:spacing w:line="288" w:lineRule="auto"/>
        <w:ind w:left="5760" w:firstLine="0"/>
        <w:rPr>
          <w:rFonts w:ascii="Tahoma" w:cs="Tahoma" w:hAnsi="Tahoma" w:eastAsia="Tahoma"/>
          <w:b w:val="1"/>
          <w:bCs w:val="1"/>
          <w:sz w:val="20"/>
          <w:szCs w:val="20"/>
        </w:rPr>
      </w:pPr>
    </w:p>
    <w:p>
      <w:pPr>
        <w:pStyle w:val="Normal.0"/>
        <w:spacing w:line="288" w:lineRule="auto"/>
        <w:ind w:left="5760" w:firstLine="0"/>
        <w:rPr>
          <w:rFonts w:ascii="Tahoma" w:cs="Tahoma" w:hAnsi="Tahoma" w:eastAsia="Tahoma"/>
          <w:b w:val="1"/>
          <w:bCs w:val="1"/>
          <w:sz w:val="20"/>
          <w:szCs w:val="20"/>
        </w:rPr>
      </w:pP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Ž</w:t>
      </w:r>
      <w:r>
        <w:rPr>
          <w:rFonts w:ascii="Tahoma" w:hAnsi="Tahoma"/>
          <w:b w:val="1"/>
          <w:bCs w:val="1"/>
          <w:sz w:val="20"/>
          <w:szCs w:val="20"/>
          <w:rtl w:val="0"/>
        </w:rPr>
        <w:t>UPANIJSKO DR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Ž</w:t>
      </w:r>
      <w:r>
        <w:rPr>
          <w:rFonts w:ascii="Tahoma" w:hAnsi="Tahoma"/>
          <w:b w:val="1"/>
          <w:bCs w:val="1"/>
          <w:sz w:val="20"/>
          <w:szCs w:val="20"/>
          <w:rtl w:val="0"/>
        </w:rPr>
        <w:t>AVNO ODVJETNI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Š</w:t>
      </w:r>
      <w:r>
        <w:rPr>
          <w:rFonts w:ascii="Tahoma" w:hAnsi="Tahoma"/>
          <w:b w:val="1"/>
          <w:bCs w:val="1"/>
          <w:sz w:val="20"/>
          <w:szCs w:val="20"/>
          <w:rtl w:val="0"/>
        </w:rPr>
        <w:t>TVO U VARA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Ž</w:t>
      </w:r>
      <w:r>
        <w:rPr>
          <w:rFonts w:ascii="Tahoma" w:hAnsi="Tahoma"/>
          <w:b w:val="1"/>
          <w:bCs w:val="1"/>
          <w:sz w:val="20"/>
          <w:szCs w:val="20"/>
          <w:rtl w:val="0"/>
        </w:rPr>
        <w:t>DINU</w:t>
      </w:r>
    </w:p>
    <w:p>
      <w:pPr>
        <w:pStyle w:val="Normal.0"/>
        <w:spacing w:line="288" w:lineRule="auto"/>
        <w:ind w:left="5760" w:firstLine="0"/>
        <w:rPr>
          <w:rFonts w:ascii="Tahoma" w:cs="Tahoma" w:hAnsi="Tahoma" w:eastAsia="Tahoma"/>
          <w:b w:val="1"/>
          <w:bCs w:val="1"/>
          <w:sz w:val="20"/>
          <w:szCs w:val="20"/>
        </w:rPr>
      </w:pPr>
    </w:p>
    <w:p>
      <w:pPr>
        <w:pStyle w:val="Normal.0"/>
        <w:spacing w:line="288" w:lineRule="auto"/>
        <w:ind w:left="708" w:firstLine="708"/>
        <w:rPr>
          <w:rFonts w:ascii="Tahoma" w:cs="Tahoma" w:hAnsi="Tahoma" w:eastAsia="Tahoma"/>
          <w:sz w:val="22"/>
          <w:szCs w:val="22"/>
        </w:rPr>
      </w:pPr>
    </w:p>
    <w:p>
      <w:pPr>
        <w:pStyle w:val="Normal.0"/>
        <w:spacing w:line="288" w:lineRule="auto"/>
        <w:jc w:val="center"/>
        <w:rPr>
          <w:rFonts w:ascii="Tahoma" w:cs="Tahoma" w:hAnsi="Tahoma" w:eastAsia="Tahoma"/>
          <w:b w:val="1"/>
          <w:bCs w:val="1"/>
          <w:sz w:val="22"/>
          <w:szCs w:val="22"/>
        </w:rPr>
      </w:pPr>
      <w:r>
        <w:rPr>
          <w:rFonts w:ascii="Tahoma" w:hAnsi="Tahoma"/>
          <w:b w:val="1"/>
          <w:bCs w:val="1"/>
          <w:sz w:val="22"/>
          <w:szCs w:val="22"/>
          <w:rtl w:val="0"/>
        </w:rPr>
        <w:t>Izvje</w:t>
      </w:r>
      <w:r>
        <w:rPr>
          <w:rFonts w:ascii="Tahoma" w:hAnsi="Tahoma" w:hint="default"/>
          <w:b w:val="1"/>
          <w:bCs w:val="1"/>
          <w:sz w:val="22"/>
          <w:szCs w:val="22"/>
          <w:rtl w:val="0"/>
        </w:rPr>
        <w:t>šć</w:t>
      </w:r>
      <w:r>
        <w:rPr>
          <w:rFonts w:ascii="Tahoma" w:hAnsi="Tahoma"/>
          <w:b w:val="1"/>
          <w:bCs w:val="1"/>
          <w:sz w:val="22"/>
          <w:szCs w:val="22"/>
          <w:rtl w:val="0"/>
        </w:rPr>
        <w:t>e ste</w:t>
      </w:r>
      <w:r>
        <w:rPr>
          <w:rFonts w:ascii="Tahoma" w:hAnsi="Tahoma" w:hint="default"/>
          <w:b w:val="1"/>
          <w:bCs w:val="1"/>
          <w:sz w:val="22"/>
          <w:szCs w:val="22"/>
          <w:rtl w:val="0"/>
        </w:rPr>
        <w:t>č</w:t>
      </w:r>
      <w:r>
        <w:rPr>
          <w:rFonts w:ascii="Tahoma" w:hAnsi="Tahoma"/>
          <w:b w:val="1"/>
          <w:bCs w:val="1"/>
          <w:sz w:val="22"/>
          <w:szCs w:val="22"/>
          <w:rtl w:val="0"/>
        </w:rPr>
        <w:t>ajnoga upravitelja o tijeku ste</w:t>
      </w:r>
      <w:r>
        <w:rPr>
          <w:rFonts w:ascii="Tahoma" w:hAnsi="Tahoma" w:hint="default"/>
          <w:b w:val="1"/>
          <w:bCs w:val="1"/>
          <w:sz w:val="22"/>
          <w:szCs w:val="22"/>
          <w:rtl w:val="0"/>
        </w:rPr>
        <w:t>č</w:t>
      </w:r>
      <w:r>
        <w:rPr>
          <w:rFonts w:ascii="Tahoma" w:hAnsi="Tahoma"/>
          <w:b w:val="1"/>
          <w:bCs w:val="1"/>
          <w:sz w:val="22"/>
          <w:szCs w:val="22"/>
          <w:rtl w:val="0"/>
        </w:rPr>
        <w:t>ajnoga postupka i stanju ste</w:t>
      </w:r>
      <w:r>
        <w:rPr>
          <w:rFonts w:ascii="Tahoma" w:hAnsi="Tahoma" w:hint="default"/>
          <w:b w:val="1"/>
          <w:bCs w:val="1"/>
          <w:sz w:val="22"/>
          <w:szCs w:val="22"/>
          <w:rtl w:val="0"/>
        </w:rPr>
        <w:t>č</w:t>
      </w:r>
      <w:r>
        <w:rPr>
          <w:rFonts w:ascii="Tahoma" w:hAnsi="Tahoma"/>
          <w:b w:val="1"/>
          <w:bCs w:val="1"/>
          <w:sz w:val="22"/>
          <w:szCs w:val="22"/>
          <w:rtl w:val="0"/>
        </w:rPr>
        <w:t xml:space="preserve">ajne mase za razdoblje od 16.05.2016. do </w:t>
      </w:r>
      <w:r>
        <w:rPr>
          <w:rFonts w:ascii="Tahoma" w:hAnsi="Tahoma"/>
          <w:b w:val="1"/>
          <w:bCs w:val="1"/>
          <w:sz w:val="22"/>
          <w:szCs w:val="22"/>
          <w:rtl w:val="0"/>
        </w:rPr>
        <w:t>29</w:t>
      </w:r>
      <w:r>
        <w:rPr>
          <w:rFonts w:ascii="Tahoma" w:hAnsi="Tahoma"/>
          <w:b w:val="1"/>
          <w:bCs w:val="1"/>
          <w:sz w:val="22"/>
          <w:szCs w:val="22"/>
          <w:rtl w:val="0"/>
        </w:rPr>
        <w:t>.0</w:t>
      </w:r>
      <w:r>
        <w:rPr>
          <w:rFonts w:ascii="Tahoma" w:hAnsi="Tahoma"/>
          <w:b w:val="1"/>
          <w:bCs w:val="1"/>
          <w:sz w:val="22"/>
          <w:szCs w:val="22"/>
          <w:rtl w:val="0"/>
        </w:rPr>
        <w:t>9</w:t>
      </w:r>
      <w:r>
        <w:rPr>
          <w:rFonts w:ascii="Tahoma" w:hAnsi="Tahoma"/>
          <w:b w:val="1"/>
          <w:bCs w:val="1"/>
          <w:sz w:val="22"/>
          <w:szCs w:val="22"/>
          <w:rtl w:val="0"/>
        </w:rPr>
        <w:t xml:space="preserve">.2017. </w:t>
      </w:r>
    </w:p>
    <w:p>
      <w:pPr>
        <w:pStyle w:val="Normal.0"/>
        <w:spacing w:line="288" w:lineRule="auto"/>
        <w:jc w:val="center"/>
        <w:rPr>
          <w:rFonts w:ascii="Tahoma" w:cs="Tahoma" w:hAnsi="Tahoma" w:eastAsia="Tahoma"/>
          <w:b w:val="1"/>
          <w:bCs w:val="1"/>
          <w:sz w:val="22"/>
          <w:szCs w:val="22"/>
        </w:rPr>
      </w:pPr>
      <w:r>
        <w:rPr>
          <w:rFonts w:ascii="Tahoma" w:hAnsi="Tahoma"/>
          <w:b w:val="1"/>
          <w:bCs w:val="1"/>
          <w:sz w:val="22"/>
          <w:szCs w:val="22"/>
          <w:rtl w:val="0"/>
        </w:rPr>
        <w:t>(O-20)</w:t>
      </w:r>
    </w:p>
    <w:p>
      <w:pPr>
        <w:pStyle w:val="Normal.0"/>
        <w:spacing w:line="288" w:lineRule="auto"/>
        <w:ind w:left="708" w:firstLine="708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ind w:left="708" w:firstLine="708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rPr>
          <w:rFonts w:ascii="Tahoma" w:cs="Tahoma" w:hAnsi="Tahoma" w:eastAsia="Tahoma"/>
          <w:b w:val="1"/>
          <w:bCs w:val="1"/>
          <w:sz w:val="20"/>
          <w:szCs w:val="2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I.  Op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ć</w:t>
      </w:r>
      <w:r>
        <w:rPr>
          <w:rFonts w:ascii="Tahoma" w:hAnsi="Tahoma"/>
          <w:b w:val="1"/>
          <w:bCs w:val="1"/>
          <w:sz w:val="20"/>
          <w:szCs w:val="20"/>
          <w:rtl w:val="0"/>
        </w:rPr>
        <w:t>i podaci o ste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č</w:t>
      </w:r>
      <w:r>
        <w:rPr>
          <w:rFonts w:ascii="Tahoma" w:hAnsi="Tahoma"/>
          <w:b w:val="1"/>
          <w:bCs w:val="1"/>
          <w:sz w:val="20"/>
          <w:szCs w:val="20"/>
          <w:rtl w:val="0"/>
        </w:rPr>
        <w:t>ajnom du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ž</w:t>
      </w:r>
      <w:r>
        <w:rPr>
          <w:rFonts w:ascii="Tahoma" w:hAnsi="Tahoma"/>
          <w:b w:val="1"/>
          <w:bCs w:val="1"/>
          <w:sz w:val="20"/>
          <w:szCs w:val="20"/>
          <w:rtl w:val="0"/>
        </w:rPr>
        <w:t xml:space="preserve">niku </w:t>
      </w:r>
    </w:p>
    <w:p>
      <w:pPr>
        <w:pStyle w:val="Normal.0"/>
        <w:spacing w:line="288" w:lineRule="auto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Pred Trgova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kim sudom u Vara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dinu, poslovni broj: 3 St-452/16-5, vodi se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ajni postupak nad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nikom</w:t>
      </w:r>
      <w:r>
        <w:rPr>
          <w:rtl w:val="0"/>
        </w:rPr>
        <w:t xml:space="preserve"> </w:t>
      </w:r>
      <w:r>
        <w:rPr>
          <w:rFonts w:ascii="Tahoma" w:hAnsi="Tahoma"/>
          <w:sz w:val="20"/>
          <w:szCs w:val="20"/>
          <w:rtl w:val="0"/>
        </w:rPr>
        <w:t>KLM HORVAT dru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tvo s ograni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enom odgovorno</w:t>
      </w:r>
      <w:r>
        <w:rPr>
          <w:rFonts w:ascii="Tahoma" w:hAnsi="Tahoma" w:hint="default"/>
          <w:sz w:val="20"/>
          <w:szCs w:val="20"/>
          <w:rtl w:val="0"/>
        </w:rPr>
        <w:t>šć</w:t>
      </w:r>
      <w:r>
        <w:rPr>
          <w:rFonts w:ascii="Tahoma" w:hAnsi="Tahoma"/>
          <w:sz w:val="20"/>
          <w:szCs w:val="20"/>
          <w:rtl w:val="0"/>
        </w:rPr>
        <w:t>u za trgovinu, ugostiteljstvo, turizam i uslu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ne djelatnosti, skra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ena tvrtka KLM HORVAT d.o.o., Gori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 xml:space="preserve">an, 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kolska 102, OIB: 12796096560, otvoren 16. svibnja 2016. godine, u kojem sam postupku imenovana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ajnim upraviteljem.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rPr>
          <w:rFonts w:ascii="Tahoma" w:cs="Tahoma" w:hAnsi="Tahoma" w:eastAsia="Tahoma"/>
          <w:b w:val="1"/>
          <w:bCs w:val="1"/>
          <w:sz w:val="20"/>
          <w:szCs w:val="20"/>
          <w:u w:val="single"/>
        </w:rPr>
      </w:pPr>
      <w:r>
        <w:rPr>
          <w:rFonts w:ascii="Tahoma" w:hAnsi="Tahoma"/>
          <w:b w:val="1"/>
          <w:bCs w:val="1"/>
          <w:sz w:val="20"/>
          <w:szCs w:val="20"/>
          <w:u w:val="single"/>
          <w:rtl w:val="0"/>
        </w:rPr>
        <w:t>II. Stanje ste</w:t>
      </w:r>
      <w:r>
        <w:rPr>
          <w:rFonts w:ascii="Tahoma" w:hAnsi="Tahoma" w:hint="default"/>
          <w:b w:val="1"/>
          <w:bCs w:val="1"/>
          <w:sz w:val="20"/>
          <w:szCs w:val="20"/>
          <w:u w:val="single"/>
          <w:rtl w:val="0"/>
        </w:rPr>
        <w:t>č</w:t>
      </w:r>
      <w:r>
        <w:rPr>
          <w:rFonts w:ascii="Tahoma" w:hAnsi="Tahoma"/>
          <w:b w:val="1"/>
          <w:bCs w:val="1"/>
          <w:sz w:val="20"/>
          <w:szCs w:val="20"/>
          <w:u w:val="single"/>
          <w:rtl w:val="0"/>
        </w:rPr>
        <w:t>ajne mase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b w:val="1"/>
          <w:bCs w:val="1"/>
          <w:sz w:val="20"/>
          <w:szCs w:val="20"/>
          <w:u w:val="single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U cilju izrade po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etne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ajne</w:t>
      </w: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527496" cy="252096"/>
                <wp:effectExtent l="0" t="0" r="0" b="0"/>
                <wp:wrapThrough wrapText="bothSides" distL="152400" distR="152400">
                  <wp:wrapPolygon edited="1">
                    <wp:start x="-359" y="-2176"/>
                    <wp:lineTo x="23346" y="-2176"/>
                    <wp:lineTo x="23346" y="25028"/>
                    <wp:lineTo x="-359" y="25028"/>
                    <wp:lineTo x="-359" y="-2176"/>
                  </wp:wrapPolygon>
                </wp:wrapThrough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7496" cy="2520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2552" w:type="dxa"/>
                              <w:tblInd w:w="10" w:type="dxa"/>
                              <w:tblBorders>
                                <w:top w:val="single" w:color="ffffff" w:sz="8" w:space="0" w:shadow="0" w:frame="0"/>
                                <w:left w:val="single" w:color="ffffff" w:sz="8" w:space="0" w:shadow="0" w:frame="0"/>
                                <w:bottom w:val="single" w:color="ffffff" w:sz="8" w:space="0" w:shadow="0" w:frame="0"/>
                                <w:right w:val="single" w:color="ffffff" w:sz="8" w:space="0" w:shadow="0" w:frame="0"/>
                                <w:insideH w:val="single" w:color="ffffff" w:sz="8" w:space="0" w:shadow="0" w:frame="0"/>
                                <w:insideV w:val="single" w:color="ffffff" w:sz="8" w:space="0" w:shadow="0" w:frame="0"/>
                              </w:tblBorders>
                              <w:shd w:val="clear" w:color="auto" w:fill="ced7e7"/>
                              <w:tblLayout w:type="fixed"/>
                            </w:tblPr>
                            <w:tblGrid>
                              <w:gridCol w:w="2552"/>
                            </w:tblGrid>
                            <w:tr>
                              <w:tblPrEx>
                                <w:shd w:val="clear" w:color="auto" w:fill="ced7e7"/>
                              </w:tblPrEx>
                              <w:trPr>
                                <w:trHeight w:val="425" w:hRule="atLeast"/>
                              </w:trPr>
                              <w:tc>
                                <w:tcPr>
                                  <w:tcW w:type="dxa" w:w="2552"/>
                                  <w:tcBorders>
                                    <w:top w:val="single" w:color="ffffff" w:sz="8" w:space="0" w:shadow="0" w:frame="0"/>
                                    <w:left w:val="single" w:color="ffffff" w:sz="8" w:space="0" w:shadow="0" w:frame="0"/>
                                    <w:bottom w:val="single" w:color="ffffff" w:sz="8" w:space="0" w:shadow="0" w:frame="0"/>
                                    <w:right w:val="single" w:color="ffffff" w:sz="8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0"/>
                                    <w:left w:type="dxa" w:w="0"/>
                                    <w:bottom w:type="dxa" w:w="0"/>
                                    <w:right w:type="dxa" w:w="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</w:tbl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0.0pt;margin-top:0.0pt;width:120.3pt;height:19.9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0.8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tbl>
                      <w:tblPr>
                        <w:tblW w:w="2552" w:type="dxa"/>
                        <w:tblInd w:w="10" w:type="dxa"/>
                        <w:tblBorders>
                          <w:top w:val="single" w:color="ffffff" w:sz="8" w:space="0" w:shadow="0" w:frame="0"/>
                          <w:left w:val="single" w:color="ffffff" w:sz="8" w:space="0" w:shadow="0" w:frame="0"/>
                          <w:bottom w:val="single" w:color="ffffff" w:sz="8" w:space="0" w:shadow="0" w:frame="0"/>
                          <w:right w:val="single" w:color="ffffff" w:sz="8" w:space="0" w:shadow="0" w:frame="0"/>
                          <w:insideH w:val="single" w:color="ffffff" w:sz="8" w:space="0" w:shadow="0" w:frame="0"/>
                          <w:insideV w:val="single" w:color="ffffff" w:sz="8" w:space="0" w:shadow="0" w:frame="0"/>
                        </w:tblBorders>
                        <w:shd w:val="clear" w:color="auto" w:fill="ced7e7"/>
                        <w:tblLayout w:type="fixed"/>
                      </w:tblPr>
                      <w:tblGrid>
                        <w:gridCol w:w="2552"/>
                      </w:tblGrid>
                      <w:tr>
                        <w:tblPrEx>
                          <w:shd w:val="clear" w:color="auto" w:fill="ced7e7"/>
                        </w:tblPrEx>
                        <w:trPr>
                          <w:trHeight w:val="425" w:hRule="atLeast"/>
                        </w:trPr>
                        <w:tc>
                          <w:tcPr>
                            <w:tcW w:type="dxa" w:w="2552"/>
                            <w:tcBorders>
                              <w:top w:val="single" w:color="ffffff" w:sz="8" w:space="0" w:shadow="0" w:frame="0"/>
                              <w:left w:val="single" w:color="ffffff" w:sz="8" w:space="0" w:shadow="0" w:frame="0"/>
                              <w:bottom w:val="single" w:color="ffffff" w:sz="8" w:space="0" w:shadow="0" w:frame="0"/>
                              <w:right w:val="single" w:color="ffffff" w:sz="8" w:space="0" w:shadow="0" w:frame="0"/>
                            </w:tcBorders>
                            <w:shd w:val="clear" w:color="auto" w:fill="auto"/>
                            <w:tcMar>
                              <w:top w:type="dxa" w:w="0"/>
                              <w:left w:type="dxa" w:w="0"/>
                              <w:bottom w:type="dxa" w:w="0"/>
                              <w:right w:type="dxa" w:w="0"/>
                            </w:tcMar>
                            <w:vAlign w:val="top"/>
                          </w:tcPr>
                          <w:p/>
                        </w:tc>
                      </w:tr>
                    </w:tbl>
                  </w:txbxContent>
                </v:textbox>
                <w10:wrap type="through" side="bothSides" anchorx="page" anchory="page"/>
              </v:shape>
            </w:pict>
          </mc:Fallback>
        </mc:AlternateContent>
      </w:r>
      <w:r>
        <w:rPr>
          <w:rFonts w:ascii="Tahoma" w:hAnsi="Tahoma"/>
          <w:sz w:val="20"/>
          <w:szCs w:val="20"/>
          <w:rtl w:val="0"/>
        </w:rPr>
        <w:t xml:space="preserve"> bilance i pregleda imovine i obveza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nika sukladno 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l. 152.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zakona, te za obavljanje financijskih i knjigovodstvenih poslova anga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iran je knjigovodstveni servis BIRO PLUS d.o.o. iz 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akovca i zatra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ena je knjigovodstvena dokumentacija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nika. </w:t>
      </w:r>
      <w:r>
        <w:rPr>
          <w:rFonts w:ascii="Tahoma" w:hAnsi="Tahoma"/>
          <w:sz w:val="20"/>
          <w:szCs w:val="20"/>
          <w:rtl w:val="0"/>
        </w:rPr>
        <w:t>Obzirom da biv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i direktor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nika nije dostavio knjigovodstvenu dokumentaciju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ajnom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niku  to mu je rje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enjem naslovnog suda od 12.12.2016.g. nalo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eno da istu u roku od 8 dana dostavi sudu. Do dana pisanja ovog izvje</w:t>
      </w:r>
      <w:r>
        <w:rPr>
          <w:rFonts w:ascii="Tahoma" w:hAnsi="Tahoma" w:hint="default"/>
          <w:sz w:val="20"/>
          <w:szCs w:val="20"/>
          <w:rtl w:val="0"/>
        </w:rPr>
        <w:t>šć</w:t>
      </w:r>
      <w:r>
        <w:rPr>
          <w:rFonts w:ascii="Tahoma" w:hAnsi="Tahoma"/>
          <w:sz w:val="20"/>
          <w:szCs w:val="20"/>
          <w:rtl w:val="0"/>
        </w:rPr>
        <w:t>a biv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i direktor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nka jo</w:t>
      </w:r>
      <w:r>
        <w:rPr>
          <w:rFonts w:ascii="Tahoma" w:hAnsi="Tahoma" w:hint="default"/>
          <w:sz w:val="20"/>
          <w:szCs w:val="20"/>
          <w:rtl w:val="0"/>
        </w:rPr>
        <w:t xml:space="preserve">š </w:t>
      </w:r>
      <w:r>
        <w:rPr>
          <w:rFonts w:ascii="Tahoma" w:hAnsi="Tahoma"/>
          <w:sz w:val="20"/>
          <w:szCs w:val="20"/>
          <w:rtl w:val="0"/>
        </w:rPr>
        <w:t>uvijek nije dostavio tra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enu dokumentaciju. 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T</w:t>
      </w:r>
      <w:r>
        <w:rPr>
          <w:rFonts w:ascii="Tahoma" w:hAnsi="Tahoma"/>
          <w:sz w:val="20"/>
          <w:szCs w:val="20"/>
          <w:rtl w:val="0"/>
        </w:rPr>
        <w:t>emeljem dostupnih podataka, imovina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nika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danom otvaranja ste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č</w:t>
      </w:r>
      <w:r>
        <w:rPr>
          <w:rFonts w:ascii="Tahoma" w:hAnsi="Tahoma"/>
          <w:b w:val="1"/>
          <w:bCs w:val="1"/>
          <w:sz w:val="20"/>
          <w:szCs w:val="20"/>
          <w:rtl w:val="0"/>
        </w:rPr>
        <w:t>ajnog postupka</w:t>
      </w:r>
      <w:r>
        <w:rPr>
          <w:rFonts w:ascii="Tahoma" w:hAnsi="Tahoma"/>
          <w:sz w:val="20"/>
          <w:szCs w:val="20"/>
          <w:rtl w:val="0"/>
        </w:rPr>
        <w:t xml:space="preserve"> utvr</w:t>
      </w:r>
      <w:r>
        <w:rPr>
          <w:rFonts w:ascii="Tahoma" w:hAnsi="Tahoma" w:hint="default"/>
          <w:sz w:val="20"/>
          <w:szCs w:val="20"/>
          <w:rtl w:val="0"/>
        </w:rPr>
        <w:t>đ</w:t>
      </w:r>
      <w:r>
        <w:rPr>
          <w:rFonts w:ascii="Tahoma" w:hAnsi="Tahoma"/>
          <w:sz w:val="20"/>
          <w:szCs w:val="20"/>
          <w:rtl w:val="0"/>
        </w:rPr>
        <w:t xml:space="preserve">ena je u iznosu od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2.992.122,55 kn</w:t>
      </w:r>
      <w:r>
        <w:rPr>
          <w:rFonts w:ascii="Tahoma" w:hAnsi="Tahoma"/>
          <w:sz w:val="20"/>
          <w:szCs w:val="20"/>
          <w:rtl w:val="0"/>
        </w:rPr>
        <w:t>, dok su obveze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nika temeljem prijavljenih i priznatih tra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bina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ajnih vjerovnika na I. ispitnom ro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i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tu utvr</w:t>
      </w:r>
      <w:r>
        <w:rPr>
          <w:rFonts w:ascii="Tahoma" w:hAnsi="Tahoma" w:hint="default"/>
          <w:sz w:val="20"/>
          <w:szCs w:val="20"/>
          <w:rtl w:val="0"/>
        </w:rPr>
        <w:t>đ</w:t>
      </w:r>
      <w:r>
        <w:rPr>
          <w:rFonts w:ascii="Tahoma" w:hAnsi="Tahoma"/>
          <w:sz w:val="20"/>
          <w:szCs w:val="20"/>
          <w:rtl w:val="0"/>
        </w:rPr>
        <w:t xml:space="preserve">ene u iznosu od </w:t>
      </w:r>
      <w:r>
        <w:rPr>
          <w:rFonts w:ascii="Tahoma" w:hAnsi="Tahoma"/>
          <w:b w:val="1"/>
          <w:bCs w:val="1"/>
          <w:sz w:val="20"/>
          <w:szCs w:val="20"/>
          <w:rtl w:val="0"/>
        </w:rPr>
        <w:t>7.036.544,49  kn</w:t>
      </w:r>
      <w:r>
        <w:rPr>
          <w:rFonts w:ascii="Tahoma" w:hAnsi="Tahoma"/>
          <w:sz w:val="20"/>
          <w:szCs w:val="20"/>
          <w:rtl w:val="0"/>
        </w:rPr>
        <w:t>.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numPr>
          <w:ilvl w:val="0"/>
          <w:numId w:val="2"/>
        </w:numPr>
        <w:suppressAutoHyphens w:val="1"/>
        <w:bidi w:val="0"/>
        <w:spacing w:line="288" w:lineRule="auto"/>
        <w:ind w:right="0"/>
        <w:jc w:val="both"/>
        <w:rPr>
          <w:rFonts w:ascii="Tahoma" w:cs="Tahoma" w:hAnsi="Tahoma" w:eastAsia="Tahoma"/>
          <w:sz w:val="20"/>
          <w:szCs w:val="20"/>
          <w:u w:val="single"/>
          <w:rtl w:val="0"/>
        </w:rPr>
      </w:pPr>
      <w:r>
        <w:rPr>
          <w:rFonts w:ascii="Tahoma" w:hAnsi="Tahoma"/>
          <w:b w:val="1"/>
          <w:bCs w:val="1"/>
          <w:sz w:val="20"/>
          <w:szCs w:val="20"/>
          <w:u w:val="single"/>
          <w:rtl w:val="0"/>
        </w:rPr>
        <w:t>Imovina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numPr>
          <w:ilvl w:val="0"/>
          <w:numId w:val="4"/>
        </w:numPr>
        <w:suppressAutoHyphens w:val="1"/>
        <w:bidi w:val="0"/>
        <w:spacing w:line="288" w:lineRule="auto"/>
        <w:ind w:right="0"/>
        <w:jc w:val="both"/>
        <w:rPr>
          <w:rFonts w:ascii="Tahoma" w:cs="Tahoma" w:hAnsi="Tahoma" w:eastAsia="Tahoma"/>
          <w:b w:val="1"/>
          <w:bCs w:val="1"/>
          <w:sz w:val="20"/>
          <w:szCs w:val="20"/>
          <w:rtl w:val="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 xml:space="preserve">Nekretnine 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Knjigovodstvena vrijednost nekretnina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nika po Bilanci na dan  31.12.2014. godine iznosi 3.418.364,00 kn. Stanje nekretnina iskazano u po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etnoj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 xml:space="preserve">ajnoj bilanci iznosi 2.984.907,78 kn, temeljem procjene po pravnoj osobi HORVAT-GRADNJA d.o.o. od 12.06.2015. godine, a koje se stanje  odnosi na 2 nekretnine, kako </w:t>
      </w:r>
      <w:r>
        <w:rPr>
          <w:rFonts w:ascii="Tahoma" w:hAnsi="Tahoma"/>
          <w:sz w:val="20"/>
          <w:szCs w:val="20"/>
          <w:rtl w:val="0"/>
        </w:rPr>
        <w:t>slijedi: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numPr>
          <w:ilvl w:val="0"/>
          <w:numId w:val="6"/>
        </w:numPr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Oranica, u naravi proizvodni pogon,  upisan u zk.ul. 7779 k.o. Gori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an, Zemlji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noknji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ni odjel Prelog, 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k.br. 5049/628/6, ukupne povr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 xml:space="preserve">ine od 1383 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hv</w:t>
      </w:r>
      <w:r>
        <w:rPr>
          <w:rFonts w:ascii="Tahoma" w:hAnsi="Tahoma"/>
          <w:sz w:val="20"/>
          <w:szCs w:val="20"/>
          <w:rtl w:val="0"/>
        </w:rPr>
        <w:t xml:space="preserve"> procijenjene vrijednost </w:t>
      </w:r>
      <w:r>
        <w:rPr>
          <w:rFonts w:ascii="Tahoma" w:hAnsi="Tahoma"/>
          <w:sz w:val="20"/>
          <w:szCs w:val="20"/>
          <w:rtl w:val="0"/>
        </w:rPr>
        <w:t>2.487.023,66 k</w:t>
      </w:r>
      <w:r>
        <w:rPr>
          <w:rFonts w:ascii="Tahoma" w:hAnsi="Tahoma"/>
          <w:sz w:val="20"/>
          <w:szCs w:val="20"/>
          <w:rtl w:val="0"/>
        </w:rPr>
        <w:t>n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numPr>
          <w:ilvl w:val="0"/>
          <w:numId w:val="6"/>
        </w:numPr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Stambeno-poslovni objekt, dvori</w:t>
      </w:r>
      <w:r>
        <w:rPr>
          <w:rFonts w:ascii="Tahoma" w:hAnsi="Tahoma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š</w:t>
      </w:r>
      <w:r>
        <w:rPr>
          <w:rFonts w:ascii="Tahoma" w:hAnsi="Tahoma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te,</w:t>
      </w:r>
      <w:r>
        <w:rPr>
          <w:rFonts w:ascii="Tahoma" w:hAnsi="Tahoma"/>
          <w:sz w:val="20"/>
          <w:szCs w:val="20"/>
          <w:rtl w:val="0"/>
        </w:rPr>
        <w:t xml:space="preserve"> </w:t>
      </w:r>
      <w:r>
        <w:rPr>
          <w:rFonts w:ascii="Tahoma" w:hAnsi="Tahoma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upisan u zk.ul. 7734 k.o. Gori</w:t>
      </w:r>
      <w:r>
        <w:rPr>
          <w:rFonts w:ascii="Tahoma" w:hAnsi="Tahoma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č</w:t>
      </w:r>
      <w:r>
        <w:rPr>
          <w:rFonts w:ascii="Tahoma" w:hAnsi="Tahoma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an, Zemlji</w:t>
      </w:r>
      <w:r>
        <w:rPr>
          <w:rFonts w:ascii="Tahoma" w:hAnsi="Tahoma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š</w:t>
      </w:r>
      <w:r>
        <w:rPr>
          <w:rFonts w:ascii="Tahoma" w:hAnsi="Tahoma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noknji</w:t>
      </w:r>
      <w:r>
        <w:rPr>
          <w:rFonts w:ascii="Tahoma" w:hAnsi="Tahoma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ž</w:t>
      </w:r>
      <w:r>
        <w:rPr>
          <w:rFonts w:ascii="Tahoma" w:hAnsi="Tahoma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 xml:space="preserve">ni odjel Prelog, </w:t>
      </w:r>
      <w:r>
        <w:rPr>
          <w:rFonts w:ascii="Tahoma" w:hAnsi="Tahoma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č</w:t>
      </w:r>
      <w:r>
        <w:rPr>
          <w:rFonts w:ascii="Tahoma" w:hAnsi="Tahoma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k.br. 7/1/2, 7. Suvlasni</w:t>
      </w:r>
      <w:r>
        <w:rPr>
          <w:rFonts w:ascii="Tahoma" w:hAnsi="Tahoma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č</w:t>
      </w:r>
      <w:r>
        <w:rPr>
          <w:rFonts w:ascii="Tahoma" w:hAnsi="Tahoma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ki dio: 55/948 eta</w:t>
      </w:r>
      <w:r>
        <w:rPr>
          <w:rFonts w:ascii="Tahoma" w:hAnsi="Tahoma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ž</w:t>
      </w:r>
      <w:r>
        <w:rPr>
          <w:rFonts w:ascii="Tahoma" w:hAnsi="Tahoma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no vlasni</w:t>
      </w:r>
      <w:r>
        <w:rPr>
          <w:rFonts w:ascii="Tahoma" w:hAnsi="Tahoma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š</w:t>
      </w:r>
      <w:r>
        <w:rPr>
          <w:rFonts w:ascii="Tahoma" w:hAnsi="Tahoma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tvo (E-7) i to poslovni prostor br. 3A u prizemlju ukupne povr</w:t>
      </w:r>
      <w:r>
        <w:rPr>
          <w:rFonts w:ascii="Tahoma" w:hAnsi="Tahoma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š</w:t>
      </w:r>
      <w:r>
        <w:rPr>
          <w:rFonts w:ascii="Tahoma" w:hAnsi="Tahoma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ine 37,09 m</w:t>
      </w:r>
      <w:r>
        <w:rPr>
          <w:rFonts w:ascii="Tahoma" w:hAnsi="Tahoma" w:hint="default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>²</w:t>
      </w:r>
      <w:r>
        <w:rPr>
          <w:rFonts w:ascii="Tahoma" w:hAnsi="Tahoma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vertAlign w:val="baseline"/>
          <w:rtl w:val="0"/>
        </w:rPr>
        <w:t xml:space="preserve"> </w:t>
      </w:r>
      <w:r>
        <w:rPr>
          <w:rFonts w:ascii="Tahoma" w:hAnsi="Tahoma"/>
          <w:sz w:val="20"/>
          <w:szCs w:val="20"/>
          <w:rtl w:val="0"/>
        </w:rPr>
        <w:t xml:space="preserve">procijenjene vrijednost </w:t>
      </w:r>
      <w:r>
        <w:rPr>
          <w:rFonts w:ascii="Tahoma" w:hAnsi="Tahoma"/>
          <w:sz w:val="20"/>
          <w:szCs w:val="20"/>
          <w:rtl w:val="0"/>
        </w:rPr>
        <w:t>164.884,12</w:t>
      </w:r>
      <w:r>
        <w:rPr>
          <w:rFonts w:ascii="Tahoma" w:hAnsi="Tahoma"/>
          <w:sz w:val="20"/>
          <w:szCs w:val="20"/>
          <w:rtl w:val="0"/>
        </w:rPr>
        <w:t xml:space="preserve"> kn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Za obje nekretnine odre</w:t>
      </w:r>
      <w:r>
        <w:rPr>
          <w:rFonts w:ascii="Tahoma" w:hAnsi="Tahoma" w:hint="default"/>
          <w:sz w:val="20"/>
          <w:szCs w:val="20"/>
          <w:rtl w:val="0"/>
        </w:rPr>
        <w:t>đ</w:t>
      </w:r>
      <w:r>
        <w:rPr>
          <w:rFonts w:ascii="Tahoma" w:hAnsi="Tahoma"/>
          <w:sz w:val="20"/>
          <w:szCs w:val="20"/>
          <w:rtl w:val="0"/>
        </w:rPr>
        <w:t>ena je prodaja prikupljanjem pisanih ponuda a ro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i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te za otvaranje istih odre</w:t>
      </w:r>
      <w:r>
        <w:rPr>
          <w:rFonts w:ascii="Tahoma" w:hAnsi="Tahoma" w:hint="default"/>
          <w:sz w:val="20"/>
          <w:szCs w:val="20"/>
          <w:rtl w:val="0"/>
        </w:rPr>
        <w:t>đ</w:t>
      </w:r>
      <w:r>
        <w:rPr>
          <w:rFonts w:ascii="Tahoma" w:hAnsi="Tahoma"/>
          <w:sz w:val="20"/>
          <w:szCs w:val="20"/>
          <w:rtl w:val="0"/>
        </w:rPr>
        <w:t>eno je za dan 15. studenog 2017.g. Za navedene je nekretnine produljen ugovor o zakupu do 1. sije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 xml:space="preserve">nja  2018.g., a po isteku kojeg, ukoliko se nekretnine ne prodaju, 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 se ugovor o zakupu aneksom produljiti.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numPr>
          <w:ilvl w:val="0"/>
          <w:numId w:val="7"/>
        </w:numPr>
        <w:suppressAutoHyphens w:val="1"/>
        <w:bidi w:val="0"/>
        <w:spacing w:line="288" w:lineRule="auto"/>
        <w:ind w:right="0"/>
        <w:jc w:val="both"/>
        <w:rPr>
          <w:rFonts w:ascii="Tahoma" w:cs="Tahoma" w:hAnsi="Tahoma" w:eastAsia="Tahoma"/>
          <w:b w:val="1"/>
          <w:bCs w:val="1"/>
          <w:sz w:val="20"/>
          <w:szCs w:val="20"/>
          <w:rtl w:val="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Pokretnine</w:t>
      </w:r>
    </w:p>
    <w:p>
      <w:pPr>
        <w:pStyle w:val="Normal.0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Pokretnine u vlasni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tvu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nika evidentirane po Bilanci od 31.12.2014. godine u iznosu od 349.080,00 kn, sastoje se opreme i transportnih sredstava.  Temeljem odluke skup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tine vjerovnika od 04.10.2016.g. izvr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eno je vje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ta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enje procjene pokretnina temeljem kojeg nalaza su pokretnine procijenjene kako slijedi: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tbl>
      <w:tblPr>
        <w:tblW w:w="875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77"/>
        <w:gridCol w:w="6561"/>
        <w:gridCol w:w="1417"/>
      </w:tblGrid>
      <w:tr>
        <w:tblPrEx>
          <w:shd w:val="clear" w:color="auto" w:fill="ced7e7"/>
        </w:tblPrEx>
        <w:trPr>
          <w:trHeight w:val="538" w:hRule="atLeast"/>
        </w:trPr>
        <w:tc>
          <w:tcPr>
            <w:tcW w:type="dxa" w:w="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center"/>
            </w:pPr>
            <w:r>
              <w:rPr>
                <w:rFonts w:ascii="Tahoma" w:hAnsi="Tahoma"/>
                <w:b w:val="1"/>
                <w:bCs w:val="1"/>
                <w:sz w:val="20"/>
                <w:szCs w:val="20"/>
                <w:rtl w:val="0"/>
              </w:rPr>
              <w:t>R</w:t>
            </w:r>
            <w:r>
              <w:rPr>
                <w:rFonts w:ascii="Tahoma" w:hAnsi="Tahom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.br.</w:t>
            </w:r>
          </w:p>
        </w:tc>
        <w:tc>
          <w:tcPr>
            <w:tcW w:type="dxa" w:w="6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center"/>
            </w:pPr>
            <w:r>
              <w:rPr>
                <w:rFonts w:ascii="Tahoma" w:hAnsi="Tahom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Opis pokretnina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center"/>
            </w:pPr>
            <w:r>
              <w:rPr>
                <w:rFonts w:ascii="Tahoma" w:hAnsi="Tahom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Vrijednost u kn + PDV</w:t>
            </w:r>
          </w:p>
        </w:tc>
      </w:tr>
      <w:tr>
        <w:tblPrEx>
          <w:shd w:val="clear" w:color="auto" w:fill="ced7e7"/>
        </w:tblPrEx>
        <w:trPr>
          <w:trHeight w:val="538" w:hRule="atLeast"/>
        </w:trPr>
        <w:tc>
          <w:tcPr>
            <w:tcW w:type="dxa" w:w="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both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</w:t>
            </w:r>
          </w:p>
        </w:tc>
        <w:tc>
          <w:tcPr>
            <w:tcW w:type="dxa" w:w="6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both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Osobni automobil Passat 1.9 TDI, godina proizvodnje: 2000., KW66, CM</w:t>
            </w:r>
            <w:r>
              <w:rPr>
                <w:rFonts w:ascii="Tahoma" w:hAnsi="Tahom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³ </w:t>
            </w: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1896, broj  </w:t>
            </w:r>
            <w:r>
              <w:rPr>
                <w:rFonts w:ascii="Tahoma" w:hAnsi="Tahom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š</w:t>
            </w: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asije: WVWZZZ3BYE289603, Reg.oznaka: </w:t>
            </w:r>
            <w:r>
              <w:rPr>
                <w:rFonts w:ascii="Tahoma" w:hAnsi="Tahom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Č</w:t>
            </w: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K0510HJ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right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9.480,00</w:t>
            </w:r>
          </w:p>
        </w:tc>
      </w:tr>
      <w:tr>
        <w:tblPrEx>
          <w:shd w:val="clear" w:color="auto" w:fill="ced7e7"/>
        </w:tblPrEx>
        <w:trPr>
          <w:trHeight w:val="250" w:hRule="atLeast"/>
        </w:trPr>
        <w:tc>
          <w:tcPr>
            <w:tcW w:type="dxa" w:w="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both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</w:t>
            </w:r>
          </w:p>
        </w:tc>
        <w:tc>
          <w:tcPr>
            <w:tcW w:type="dxa" w:w="6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both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Aparat za varenje, Tip: Pulsare 550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right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9.308,00</w:t>
            </w:r>
          </w:p>
        </w:tc>
      </w:tr>
      <w:tr>
        <w:tblPrEx>
          <w:shd w:val="clear" w:color="auto" w:fill="ced7e7"/>
        </w:tblPrEx>
        <w:trPr>
          <w:trHeight w:val="250" w:hRule="atLeast"/>
        </w:trPr>
        <w:tc>
          <w:tcPr>
            <w:tcW w:type="dxa" w:w="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both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</w:t>
            </w:r>
          </w:p>
        </w:tc>
        <w:tc>
          <w:tcPr>
            <w:tcW w:type="dxa" w:w="6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both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Aparat za varenje, Tip: Pulsare 550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right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9.997,00</w:t>
            </w:r>
          </w:p>
        </w:tc>
      </w:tr>
      <w:tr>
        <w:tblPrEx>
          <w:shd w:val="clear" w:color="auto" w:fill="ced7e7"/>
        </w:tblPrEx>
        <w:trPr>
          <w:trHeight w:val="250" w:hRule="atLeast"/>
        </w:trPr>
        <w:tc>
          <w:tcPr>
            <w:tcW w:type="dxa" w:w="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both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4.</w:t>
            </w:r>
          </w:p>
        </w:tc>
        <w:tc>
          <w:tcPr>
            <w:tcW w:type="dxa" w:w="6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both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Aparat za varenje, Tip: Arming 450 D44 W Synergy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right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8.887,00</w:t>
            </w:r>
          </w:p>
        </w:tc>
      </w:tr>
      <w:tr>
        <w:tblPrEx>
          <w:shd w:val="clear" w:color="auto" w:fill="ced7e7"/>
        </w:tblPrEx>
        <w:trPr>
          <w:trHeight w:val="250" w:hRule="atLeast"/>
        </w:trPr>
        <w:tc>
          <w:tcPr>
            <w:tcW w:type="dxa" w:w="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both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5.</w:t>
            </w:r>
          </w:p>
        </w:tc>
        <w:tc>
          <w:tcPr>
            <w:tcW w:type="dxa" w:w="6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both"/>
            </w:pPr>
            <w:r>
              <w:rPr>
                <w:rFonts w:ascii="Tahoma" w:hAnsi="Tahom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Š</w:t>
            </w: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kare za rezanje lima, Model: CI 103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right"/>
            </w:pPr>
            <w:r>
              <w:rPr>
                <w:rFonts w:ascii="Tahoma" w:hAnsi="Tahom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4.303,00</w:t>
            </w:r>
          </w:p>
        </w:tc>
      </w:tr>
      <w:tr>
        <w:tblPrEx>
          <w:shd w:val="clear" w:color="auto" w:fill="ced7e7"/>
        </w:tblPrEx>
        <w:trPr>
          <w:trHeight w:val="250" w:hRule="atLeast"/>
        </w:trPr>
        <w:tc>
          <w:tcPr>
            <w:tcW w:type="dxa" w:w="7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both"/>
            </w:pPr>
            <w:r>
              <w:rPr>
                <w:rFonts w:ascii="Tahoma" w:hAnsi="Tahom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 </w:t>
            </w:r>
          </w:p>
        </w:tc>
        <w:tc>
          <w:tcPr>
            <w:tcW w:type="dxa" w:w="6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both"/>
            </w:pPr>
            <w:r>
              <w:rPr>
                <w:rFonts w:ascii="Tahoma" w:hAnsi="Tahom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Ukupno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uppressAutoHyphens w:val="1"/>
              <w:spacing w:line="288" w:lineRule="auto"/>
              <w:jc w:val="right"/>
            </w:pPr>
            <w:r>
              <w:rPr>
                <w:rFonts w:ascii="Tahoma" w:hAnsi="Tahom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41.975,00</w:t>
            </w:r>
          </w:p>
        </w:tc>
      </w:tr>
    </w:tbl>
    <w:p>
      <w:pPr>
        <w:pStyle w:val="Normal.0"/>
        <w:widowControl w:val="0"/>
        <w:suppressAutoHyphens w:val="1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Temeljem odluke skup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tine vjerovnika od 04.10.2016.g.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ajna upraviteljica produljila je ugovore o zakupu gore navedenih pokretnina te je pristupila i prodaji istih. Slijedom navedenog prodan je aparat za varenje naveden pod rb.2. za procijenjeni iznos od 9.308,00 kn + PDV</w:t>
      </w:r>
      <w:r>
        <w:rPr>
          <w:rFonts w:ascii="Tahoma" w:hAnsi="Tahoma"/>
          <w:sz w:val="20"/>
          <w:szCs w:val="20"/>
          <w:rtl w:val="0"/>
        </w:rPr>
        <w:t xml:space="preserve"> i </w:t>
      </w:r>
      <w:r>
        <w:rPr>
          <w:rFonts w:ascii="Tahoma" w:hAnsi="Tahoma"/>
          <w:sz w:val="20"/>
          <w:szCs w:val="20"/>
          <w:rtl w:val="0"/>
        </w:rPr>
        <w:t>aparat za varenje naveden pod rb.</w:t>
      </w:r>
      <w:r>
        <w:rPr>
          <w:rFonts w:ascii="Tahoma" w:hAnsi="Tahoma"/>
          <w:sz w:val="20"/>
          <w:szCs w:val="20"/>
          <w:rtl w:val="0"/>
        </w:rPr>
        <w:t>4</w:t>
      </w:r>
      <w:r>
        <w:rPr>
          <w:rFonts w:ascii="Tahoma" w:hAnsi="Tahoma"/>
          <w:sz w:val="20"/>
          <w:szCs w:val="20"/>
          <w:rtl w:val="0"/>
        </w:rPr>
        <w:t>. za procijenjeni iznos od 8.887,00 kn + PDV.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b w:val="1"/>
          <w:bCs w:val="1"/>
          <w:sz w:val="20"/>
          <w:szCs w:val="2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3. Zalihe robe i potra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ž</w:t>
      </w:r>
      <w:r>
        <w:rPr>
          <w:rFonts w:ascii="Tahoma" w:hAnsi="Tahoma"/>
          <w:b w:val="1"/>
          <w:bCs w:val="1"/>
          <w:sz w:val="20"/>
          <w:szCs w:val="20"/>
          <w:rtl w:val="0"/>
        </w:rPr>
        <w:t>ivanja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to se ti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e zaliha robe, iste nisu zate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ene u posjedu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nika, slijedom 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ega se u po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etnoj bilanci iskazuju u iznosu od 0,00 kn, a glede potra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ivanja, obzirom da do sada nije dostavljena knjigovodstvena dokumentacija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nika ista se tako</w:t>
      </w:r>
      <w:r>
        <w:rPr>
          <w:rFonts w:ascii="Tahoma" w:hAnsi="Tahoma" w:hint="default"/>
          <w:sz w:val="20"/>
          <w:szCs w:val="20"/>
          <w:rtl w:val="0"/>
        </w:rPr>
        <w:t>đ</w:t>
      </w:r>
      <w:r>
        <w:rPr>
          <w:rFonts w:ascii="Tahoma" w:hAnsi="Tahoma"/>
          <w:sz w:val="20"/>
          <w:szCs w:val="20"/>
          <w:rtl w:val="0"/>
        </w:rPr>
        <w:t>er iskazuju u iznosu od 0,00 kn.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b w:val="1"/>
          <w:bCs w:val="1"/>
          <w:sz w:val="20"/>
          <w:szCs w:val="2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>4. Novac u banci i blagajni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Iako je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ajna upraviteljica sklopile ugovore o najmu poslovnih prostora i pokretnina, te je dio pokretnina i prodala, navedena potra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ivanja nisu napla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ena usprkos opetovanim pozivima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ajne upraviteljice i opomenama. Slijedom navedenog predla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em da se sazove skup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tina vjerovnika i da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ajnoj upraviteljici dade suglasnost da anga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 xml:space="preserve">ira odvjetnika koji 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 utu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iti navedena potra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ivanja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nika.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spacing w:line="288" w:lineRule="auto"/>
        <w:ind w:left="720" w:firstLine="0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b w:val="1"/>
          <w:bCs w:val="1"/>
          <w:sz w:val="20"/>
          <w:szCs w:val="20"/>
        </w:rPr>
      </w:pPr>
      <w:r>
        <w:rPr>
          <w:rFonts w:ascii="Tahoma" w:hAnsi="Tahoma"/>
          <w:b w:val="1"/>
          <w:bCs w:val="1"/>
          <w:sz w:val="20"/>
          <w:szCs w:val="20"/>
          <w:rtl w:val="0"/>
        </w:rPr>
        <w:t xml:space="preserve">III. Radnje koje </w:t>
      </w:r>
      <w:r>
        <w:rPr>
          <w:rFonts w:ascii="Tahoma" w:hAnsi="Tahoma" w:hint="default"/>
          <w:b w:val="1"/>
          <w:bCs w:val="1"/>
          <w:sz w:val="20"/>
          <w:szCs w:val="20"/>
          <w:rtl w:val="0"/>
        </w:rPr>
        <w:t>ć</w:t>
      </w:r>
      <w:r>
        <w:rPr>
          <w:rFonts w:ascii="Tahoma" w:hAnsi="Tahoma"/>
          <w:b w:val="1"/>
          <w:bCs w:val="1"/>
          <w:sz w:val="20"/>
          <w:szCs w:val="20"/>
          <w:rtl w:val="0"/>
        </w:rPr>
        <w:t>e se poduzeti u narednom razdoblju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Tijekom narednog razdoblja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 xml:space="preserve">ajnog postupka nastavit 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 se unov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enje pokretnina i naplata potra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ivanja od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nika, te se predla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e slijede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e:</w:t>
      </w:r>
    </w:p>
    <w:p>
      <w:pPr>
        <w:pStyle w:val="Normal.0"/>
        <w:widowControl w:val="0"/>
        <w:numPr>
          <w:ilvl w:val="0"/>
          <w:numId w:val="9"/>
        </w:numPr>
        <w:suppressAutoHyphens w:val="1"/>
        <w:bidi w:val="0"/>
        <w:spacing w:line="288" w:lineRule="auto"/>
        <w:ind w:right="0"/>
        <w:jc w:val="both"/>
        <w:rPr>
          <w:rFonts w:ascii="Tahoma" w:cs="Tahoma" w:hAnsi="Tahoma" w:eastAsia="Tahoma"/>
          <w:sz w:val="20"/>
          <w:szCs w:val="20"/>
          <w:rtl w:val="0"/>
        </w:rPr>
      </w:pPr>
      <w:r>
        <w:rPr>
          <w:rFonts w:ascii="Tahoma" w:hAnsi="Tahoma"/>
          <w:sz w:val="20"/>
          <w:szCs w:val="20"/>
          <w:rtl w:val="0"/>
        </w:rPr>
        <w:t>da sud sazove skup</w:t>
      </w:r>
      <w:r>
        <w:rPr>
          <w:rFonts w:ascii="Tahoma" w:hAnsi="Tahoma" w:hint="default"/>
          <w:sz w:val="20"/>
          <w:szCs w:val="20"/>
          <w:rtl w:val="0"/>
        </w:rPr>
        <w:t>š</w:t>
      </w:r>
      <w:r>
        <w:rPr>
          <w:rFonts w:ascii="Tahoma" w:hAnsi="Tahoma"/>
          <w:sz w:val="20"/>
          <w:szCs w:val="20"/>
          <w:rtl w:val="0"/>
        </w:rPr>
        <w:t>tinu vjerovnika s dnevnim redom:</w:t>
      </w:r>
    </w:p>
    <w:p>
      <w:pPr>
        <w:pStyle w:val="Normal.0"/>
        <w:widowControl w:val="0"/>
        <w:numPr>
          <w:ilvl w:val="1"/>
          <w:numId w:val="9"/>
        </w:numPr>
        <w:suppressAutoHyphens w:val="1"/>
        <w:bidi w:val="0"/>
        <w:spacing w:line="288" w:lineRule="auto"/>
        <w:ind w:right="0"/>
        <w:jc w:val="both"/>
        <w:rPr>
          <w:rFonts w:ascii="Tahoma" w:cs="Tahoma" w:hAnsi="Tahoma" w:eastAsia="Tahoma"/>
          <w:sz w:val="20"/>
          <w:szCs w:val="20"/>
          <w:rtl w:val="0"/>
        </w:rPr>
      </w:pPr>
      <w:r>
        <w:rPr>
          <w:rFonts w:ascii="Tahoma" w:hAnsi="Tahoma"/>
          <w:sz w:val="20"/>
          <w:szCs w:val="20"/>
          <w:rtl w:val="0"/>
        </w:rPr>
        <w:t>davanje suglasnosti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ajnom upravitelju za imenovanje punomo</w:t>
      </w:r>
      <w:r>
        <w:rPr>
          <w:rFonts w:ascii="Tahoma" w:hAnsi="Tahoma" w:hint="default"/>
          <w:sz w:val="20"/>
          <w:szCs w:val="20"/>
          <w:rtl w:val="0"/>
        </w:rPr>
        <w:t>ć</w:t>
      </w:r>
      <w:r>
        <w:rPr>
          <w:rFonts w:ascii="Tahoma" w:hAnsi="Tahoma"/>
          <w:sz w:val="20"/>
          <w:szCs w:val="20"/>
          <w:rtl w:val="0"/>
        </w:rPr>
        <w:t>nika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ajnom du</w:t>
      </w:r>
      <w:r>
        <w:rPr>
          <w:rFonts w:ascii="Tahoma" w:hAnsi="Tahoma" w:hint="default"/>
          <w:sz w:val="20"/>
          <w:szCs w:val="20"/>
          <w:rtl w:val="0"/>
        </w:rPr>
        <w:t>ž</w:t>
      </w:r>
      <w:r>
        <w:rPr>
          <w:rFonts w:ascii="Tahoma" w:hAnsi="Tahoma"/>
          <w:sz w:val="20"/>
          <w:szCs w:val="20"/>
          <w:rtl w:val="0"/>
        </w:rPr>
        <w:t>niku</w:t>
      </w:r>
    </w:p>
    <w:p>
      <w:pPr>
        <w:pStyle w:val="Normal.0"/>
        <w:widowControl w:val="0"/>
        <w:numPr>
          <w:ilvl w:val="1"/>
          <w:numId w:val="9"/>
        </w:numPr>
        <w:suppressAutoHyphens w:val="1"/>
        <w:bidi w:val="0"/>
        <w:spacing w:line="288" w:lineRule="auto"/>
        <w:ind w:right="0"/>
        <w:jc w:val="both"/>
        <w:rPr>
          <w:rFonts w:ascii="Tahoma" w:cs="Tahoma" w:hAnsi="Tahoma" w:eastAsia="Tahoma"/>
          <w:sz w:val="20"/>
          <w:szCs w:val="20"/>
          <w:rtl w:val="0"/>
        </w:rPr>
      </w:pPr>
      <w:r>
        <w:rPr>
          <w:rFonts w:ascii="Tahoma" w:hAnsi="Tahoma"/>
          <w:sz w:val="20"/>
          <w:szCs w:val="20"/>
          <w:rtl w:val="0"/>
        </w:rPr>
        <w:t>razno</w:t>
      </w:r>
    </w:p>
    <w:p>
      <w:pPr>
        <w:pStyle w:val="Normal.0"/>
        <w:widowControl w:val="0"/>
        <w:numPr>
          <w:ilvl w:val="0"/>
          <w:numId w:val="9"/>
        </w:numPr>
        <w:suppressAutoHyphens w:val="1"/>
        <w:bidi w:val="0"/>
        <w:spacing w:line="288" w:lineRule="auto"/>
        <w:ind w:right="0"/>
        <w:jc w:val="both"/>
        <w:rPr>
          <w:rFonts w:ascii="Tahoma" w:cs="Tahoma" w:hAnsi="Tahoma" w:eastAsia="Tahoma"/>
          <w:sz w:val="20"/>
          <w:szCs w:val="20"/>
          <w:rtl w:val="0"/>
        </w:rPr>
      </w:pPr>
      <w:r>
        <w:rPr>
          <w:rFonts w:ascii="Tahoma" w:hAnsi="Tahoma"/>
          <w:sz w:val="20"/>
          <w:szCs w:val="20"/>
          <w:rtl w:val="0"/>
        </w:rPr>
        <w:t>da se prihvati ovo izvje</w:t>
      </w:r>
      <w:r>
        <w:rPr>
          <w:rFonts w:ascii="Tahoma" w:hAnsi="Tahoma" w:hint="default"/>
          <w:sz w:val="20"/>
          <w:szCs w:val="20"/>
          <w:rtl w:val="0"/>
        </w:rPr>
        <w:t>šć</w:t>
      </w:r>
      <w:r>
        <w:rPr>
          <w:rFonts w:ascii="Tahoma" w:hAnsi="Tahoma"/>
          <w:sz w:val="20"/>
          <w:szCs w:val="20"/>
          <w:rtl w:val="0"/>
        </w:rPr>
        <w:t>e o stanju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ajne mase i tijeku 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ajnog postupka</w:t>
      </w: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jc w:val="both"/>
        <w:rPr>
          <w:rFonts w:ascii="Tahoma" w:cs="Tahoma" w:hAnsi="Tahoma" w:eastAsia="Tahoma"/>
          <w:sz w:val="20"/>
          <w:szCs w:val="20"/>
        </w:rPr>
      </w:pPr>
    </w:p>
    <w:p>
      <w:pPr>
        <w:pStyle w:val="Normal.0"/>
        <w:widowControl w:val="0"/>
        <w:suppressAutoHyphens w:val="1"/>
        <w:spacing w:line="288" w:lineRule="auto"/>
        <w:ind w:left="6480" w:firstLine="720"/>
        <w:jc w:val="both"/>
        <w:rPr>
          <w:rFonts w:ascii="Tahoma" w:cs="Tahoma" w:hAnsi="Tahoma" w:eastAsia="Tahoma"/>
          <w:sz w:val="20"/>
          <w:szCs w:val="20"/>
        </w:rPr>
      </w:pPr>
      <w:r>
        <w:rPr>
          <w:rFonts w:ascii="Tahoma" w:hAnsi="Tahoma"/>
          <w:sz w:val="20"/>
          <w:szCs w:val="20"/>
          <w:rtl w:val="0"/>
        </w:rPr>
        <w:t>Ste</w:t>
      </w:r>
      <w:r>
        <w:rPr>
          <w:rFonts w:ascii="Tahoma" w:hAnsi="Tahoma" w:hint="default"/>
          <w:sz w:val="20"/>
          <w:szCs w:val="20"/>
          <w:rtl w:val="0"/>
        </w:rPr>
        <w:t>č</w:t>
      </w:r>
      <w:r>
        <w:rPr>
          <w:rFonts w:ascii="Tahoma" w:hAnsi="Tahoma"/>
          <w:sz w:val="20"/>
          <w:szCs w:val="20"/>
          <w:rtl w:val="0"/>
        </w:rPr>
        <w:t>ajni upravitelj:</w:t>
      </w:r>
    </w:p>
    <w:p>
      <w:pPr>
        <w:pStyle w:val="Normal.0"/>
        <w:widowControl w:val="0"/>
        <w:suppressAutoHyphens w:val="1"/>
        <w:spacing w:line="288" w:lineRule="auto"/>
        <w:jc w:val="right"/>
      </w:pPr>
      <w:r>
        <w:rPr>
          <w:rFonts w:ascii="Tahoma" w:hAnsi="Tahoma"/>
          <w:sz w:val="20"/>
          <w:szCs w:val="20"/>
          <w:rtl w:val="0"/>
        </w:rPr>
        <w:t>mr. Jelena Stankus-Tkalec</w:t>
      </w:r>
    </w:p>
    <w:sectPr>
      <w:headerReference w:type="default" r:id="rId4"/>
      <w:footerReference w:type="default" r:id="rId5"/>
      <w:pgSz w:w="11900" w:h="16840" w:orient="portrait"/>
      <w:pgMar w:top="1418" w:right="1418" w:bottom="1418" w:left="1418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Tahoma">
    <w:charset w:val="00"/>
    <w:family w:val="roman"/>
    <w:pitch w:val="default"/>
  </w:font>
  <w:font w:name="Cambria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Podnožje"/>
      <w:tabs>
        <w:tab w:val="right" w:pos="9044"/>
        <w:tab w:val="clear" w:pos="9072"/>
      </w:tabs>
      <w:jc w:val="center"/>
      <w:rPr>
        <w:rFonts w:ascii="Tahoma" w:cs="Tahoma" w:hAnsi="Tahoma" w:eastAsia="Tahoma"/>
        <w:b w:val="1"/>
        <w:bCs w:val="1"/>
        <w:sz w:val="20"/>
        <w:szCs w:val="20"/>
      </w:rPr>
    </w:pPr>
  </w:p>
  <w:p>
    <w:pPr>
      <w:pStyle w:val="Podnožje"/>
      <w:pBdr>
        <w:top w:val="single" w:color="000000" w:sz="4" w:space="0" w:shadow="0" w:frame="0"/>
        <w:left w:val="nil"/>
        <w:bottom w:val="nil"/>
        <w:right w:val="nil"/>
      </w:pBdr>
      <w:tabs>
        <w:tab w:val="right" w:pos="9044"/>
        <w:tab w:val="clear" w:pos="9072"/>
      </w:tabs>
      <w:jc w:val="center"/>
      <w:rPr>
        <w:rFonts w:ascii="Tahoma" w:cs="Tahoma" w:hAnsi="Tahoma" w:eastAsia="Tahoma"/>
        <w:b w:val="1"/>
        <w:bCs w:val="1"/>
        <w:sz w:val="20"/>
        <w:szCs w:val="20"/>
      </w:rPr>
    </w:pPr>
    <w:r>
      <w:rPr>
        <w:rFonts w:ascii="Tahoma" w:cs="Tahoma" w:hAnsi="Tahoma" w:eastAsia="Tahoma"/>
        <w:b w:val="1"/>
        <w:bCs w:val="1"/>
        <w:sz w:val="20"/>
        <w:szCs w:val="20"/>
        <w:rtl w:val="0"/>
      </w:rPr>
      <w:fldChar w:fldCharType="begin" w:fldLock="0"/>
    </w:r>
    <w:r>
      <w:rPr>
        <w:rFonts w:ascii="Tahoma" w:cs="Tahoma" w:hAnsi="Tahoma" w:eastAsia="Tahoma"/>
        <w:b w:val="1"/>
        <w:bCs w:val="1"/>
        <w:sz w:val="20"/>
        <w:szCs w:val="20"/>
        <w:rtl w:val="0"/>
      </w:rPr>
      <w:instrText xml:space="preserve"> PAGE </w:instrText>
    </w:r>
    <w:r>
      <w:rPr>
        <w:rFonts w:ascii="Tahoma" w:cs="Tahoma" w:hAnsi="Tahoma" w:eastAsia="Tahoma"/>
        <w:b w:val="1"/>
        <w:bCs w:val="1"/>
        <w:sz w:val="20"/>
        <w:szCs w:val="20"/>
        <w:rtl w:val="0"/>
      </w:rPr>
      <w:fldChar w:fldCharType="separate" w:fldLock="0"/>
    </w:r>
    <w:r>
      <w:rPr>
        <w:rFonts w:ascii="Tahoma" w:cs="Tahoma" w:hAnsi="Tahoma" w:eastAsia="Tahoma"/>
        <w:b w:val="1"/>
        <w:bCs w:val="1"/>
        <w:sz w:val="20"/>
        <w:szCs w:val="20"/>
        <w:rtl w:val="0"/>
      </w:rPr>
      <w:t>2</w:t>
    </w:r>
    <w:r>
      <w:rPr>
        <w:rFonts w:ascii="Tahoma" w:cs="Tahoma" w:hAnsi="Tahoma" w:eastAsia="Tahoma"/>
        <w:b w:val="1"/>
        <w:bCs w:val="1"/>
        <w:sz w:val="20"/>
        <w:szCs w:val="20"/>
        <w:rtl w:val="0"/>
      </w:rPr>
      <w:fldChar w:fldCharType="end" w:fldLock="0"/>
    </w:r>
    <w:r>
      <w:rPr>
        <w:rFonts w:ascii="Tahoma" w:hAnsi="Tahoma"/>
        <w:b w:val="1"/>
        <w:bCs w:val="1"/>
        <w:sz w:val="20"/>
        <w:szCs w:val="20"/>
        <w:rtl w:val="0"/>
      </w:rPr>
      <w:t>.</w:t>
    </w:r>
  </w:p>
  <w:p>
    <w:pPr>
      <w:pStyle w:val="Normal.0"/>
      <w:jc w:val="both"/>
      <w:rPr>
        <w:rFonts w:ascii="Tahoma" w:cs="Tahoma" w:hAnsi="Tahoma" w:eastAsia="Tahoma"/>
        <w:sz w:val="18"/>
        <w:szCs w:val="18"/>
      </w:rPr>
    </w:pPr>
    <w:r>
      <w:rPr>
        <w:rFonts w:ascii="Tahoma" w:hAnsi="Tahoma"/>
        <w:sz w:val="18"/>
        <w:szCs w:val="18"/>
        <w:rtl w:val="0"/>
      </w:rPr>
      <w:t>Gori</w:t>
    </w:r>
    <w:r>
      <w:rPr>
        <w:rFonts w:ascii="Tahoma" w:hAnsi="Tahoma" w:hint="default"/>
        <w:sz w:val="18"/>
        <w:szCs w:val="18"/>
        <w:rtl w:val="0"/>
      </w:rPr>
      <w:t>č</w:t>
    </w:r>
    <w:r>
      <w:rPr>
        <w:rFonts w:ascii="Tahoma" w:hAnsi="Tahoma"/>
        <w:sz w:val="18"/>
        <w:szCs w:val="18"/>
        <w:rtl w:val="0"/>
      </w:rPr>
      <w:t>an,</w:t>
    </w:r>
    <w:r>
      <w:rPr>
        <w:rFonts w:ascii="Tahoma" w:hAnsi="Tahoma"/>
        <w:sz w:val="18"/>
        <w:szCs w:val="18"/>
        <w:rtl w:val="0"/>
      </w:rPr>
      <w:t xml:space="preserve"> 29</w:t>
    </w:r>
    <w:r>
      <w:rPr>
        <w:rFonts w:ascii="Tahoma" w:hAnsi="Tahoma"/>
        <w:sz w:val="18"/>
        <w:szCs w:val="18"/>
        <w:rtl w:val="0"/>
      </w:rPr>
      <w:t>.0</w:t>
    </w:r>
    <w:r>
      <w:rPr>
        <w:rFonts w:ascii="Tahoma" w:hAnsi="Tahoma"/>
        <w:sz w:val="18"/>
        <w:szCs w:val="18"/>
        <w:rtl w:val="0"/>
      </w:rPr>
      <w:t>9</w:t>
    </w:r>
    <w:r>
      <w:rPr>
        <w:rFonts w:ascii="Tahoma" w:hAnsi="Tahoma"/>
        <w:sz w:val="18"/>
        <w:szCs w:val="18"/>
        <w:rtl w:val="0"/>
      </w:rPr>
      <w:t>.2017.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Zaglavlje"/>
      <w:tabs>
        <w:tab w:val="right" w:pos="9044"/>
        <w:tab w:val="clear" w:pos="9072"/>
      </w:tabs>
      <w:jc w:val="center"/>
      <w:rPr>
        <w:rFonts w:ascii="Tahoma" w:cs="Tahoma" w:hAnsi="Tahoma" w:eastAsia="Tahoma"/>
        <w:b w:val="1"/>
        <w:bCs w:val="1"/>
        <w:sz w:val="20"/>
        <w:szCs w:val="20"/>
      </w:rPr>
    </w:pPr>
    <w:r>
      <w:rPr>
        <w:rFonts w:ascii="Tahoma" w:hAnsi="Tahoma"/>
        <w:b w:val="1"/>
        <w:bCs w:val="1"/>
        <w:sz w:val="20"/>
        <w:szCs w:val="20"/>
        <w:rtl w:val="0"/>
      </w:rPr>
      <w:t>Ste</w:t>
    </w:r>
    <w:r>
      <w:rPr>
        <w:rFonts w:ascii="Tahoma" w:hAnsi="Tahoma" w:hint="default"/>
        <w:b w:val="1"/>
        <w:bCs w:val="1"/>
        <w:sz w:val="20"/>
        <w:szCs w:val="20"/>
        <w:rtl w:val="0"/>
      </w:rPr>
      <w:t>č</w:t>
    </w:r>
    <w:r>
      <w:rPr>
        <w:rFonts w:ascii="Tahoma" w:hAnsi="Tahoma"/>
        <w:b w:val="1"/>
        <w:bCs w:val="1"/>
        <w:sz w:val="20"/>
        <w:szCs w:val="20"/>
        <w:rtl w:val="0"/>
      </w:rPr>
      <w:t>ajni upravitelj Jelena Stankus-Tkalec</w:t>
    </w:r>
  </w:p>
  <w:p>
    <w:pPr>
      <w:pStyle w:val="Zaglavlje"/>
      <w:tabs>
        <w:tab w:val="right" w:pos="9044"/>
        <w:tab w:val="clear" w:pos="9072"/>
      </w:tabs>
      <w:jc w:val="center"/>
      <w:rPr>
        <w:rFonts w:ascii="Tahoma" w:cs="Tahoma" w:hAnsi="Tahoma" w:eastAsia="Tahoma"/>
        <w:b w:val="1"/>
        <w:bCs w:val="1"/>
        <w:sz w:val="20"/>
        <w:szCs w:val="20"/>
      </w:rPr>
    </w:pPr>
    <w:r>
      <w:rPr>
        <w:rFonts w:ascii="Tahoma" w:hAnsi="Tahoma"/>
        <w:b w:val="1"/>
        <w:bCs w:val="1"/>
        <w:sz w:val="20"/>
        <w:szCs w:val="20"/>
        <w:rtl w:val="0"/>
      </w:rPr>
      <w:t>Nad TD KLM HORVAT d.o.o.u ste</w:t>
    </w:r>
    <w:r>
      <w:rPr>
        <w:rFonts w:ascii="Tahoma" w:hAnsi="Tahoma" w:hint="default"/>
        <w:b w:val="1"/>
        <w:bCs w:val="1"/>
        <w:sz w:val="20"/>
        <w:szCs w:val="20"/>
        <w:rtl w:val="0"/>
      </w:rPr>
      <w:t>č</w:t>
    </w:r>
    <w:r>
      <w:rPr>
        <w:rFonts w:ascii="Tahoma" w:hAnsi="Tahoma"/>
        <w:b w:val="1"/>
        <w:bCs w:val="1"/>
        <w:sz w:val="20"/>
        <w:szCs w:val="20"/>
        <w:rtl w:val="0"/>
      </w:rPr>
      <w:t>aju</w:t>
    </w:r>
  </w:p>
  <w:p>
    <w:pPr>
      <w:pStyle w:val="Zaglavlje"/>
      <w:tabs>
        <w:tab w:val="right" w:pos="9044"/>
        <w:tab w:val="clear" w:pos="9072"/>
      </w:tabs>
      <w:jc w:val="center"/>
      <w:rPr>
        <w:rFonts w:ascii="Tahoma" w:cs="Tahoma" w:hAnsi="Tahoma" w:eastAsia="Tahoma"/>
        <w:sz w:val="20"/>
        <w:szCs w:val="20"/>
      </w:rPr>
    </w:pPr>
    <w:r>
      <w:rPr>
        <w:rFonts w:ascii="Tahoma" w:hAnsi="Tahoma" w:hint="default"/>
        <w:sz w:val="20"/>
        <w:szCs w:val="20"/>
        <w:rtl w:val="0"/>
      </w:rPr>
      <w:t>Š</w:t>
    </w:r>
    <w:r>
      <w:rPr>
        <w:rFonts w:ascii="Tahoma" w:hAnsi="Tahoma"/>
        <w:sz w:val="20"/>
        <w:szCs w:val="20"/>
        <w:rtl w:val="0"/>
      </w:rPr>
      <w:t>kolska 102, Gori</w:t>
    </w:r>
    <w:r>
      <w:rPr>
        <w:rFonts w:ascii="Tahoma" w:hAnsi="Tahoma" w:hint="default"/>
        <w:sz w:val="20"/>
        <w:szCs w:val="20"/>
        <w:rtl w:val="0"/>
      </w:rPr>
      <w:t>č</w:t>
    </w:r>
    <w:r>
      <w:rPr>
        <w:rFonts w:ascii="Tahoma" w:hAnsi="Tahoma"/>
        <w:sz w:val="20"/>
        <w:szCs w:val="20"/>
        <w:rtl w:val="0"/>
      </w:rPr>
      <w:t>an</w:t>
    </w:r>
  </w:p>
  <w:p>
    <w:pPr>
      <w:pStyle w:val="Zaglavlje"/>
      <w:tabs>
        <w:tab w:val="right" w:pos="9044"/>
        <w:tab w:val="clear" w:pos="9072"/>
      </w:tabs>
      <w:jc w:val="center"/>
      <w:rPr>
        <w:rFonts w:ascii="Tahoma" w:cs="Tahoma" w:hAnsi="Tahoma" w:eastAsia="Tahoma"/>
        <w:sz w:val="20"/>
        <w:szCs w:val="20"/>
      </w:rPr>
    </w:pPr>
    <w:r>
      <w:rPr>
        <w:rFonts w:ascii="Tahoma" w:hAnsi="Tahoma"/>
        <w:sz w:val="20"/>
        <w:szCs w:val="20"/>
        <w:rtl w:val="0"/>
      </w:rPr>
      <w:t xml:space="preserve">OIB: 12796096560, St </w:t>
    </w:r>
    <w:r>
      <w:rPr>
        <w:rFonts w:ascii="Tahoma" w:hAnsi="Tahoma" w:hint="default"/>
        <w:sz w:val="20"/>
        <w:szCs w:val="20"/>
        <w:rtl w:val="0"/>
      </w:rPr>
      <w:t xml:space="preserve">– </w:t>
    </w:r>
    <w:r>
      <w:rPr>
        <w:rFonts w:ascii="Tahoma" w:hAnsi="Tahoma"/>
        <w:sz w:val="20"/>
        <w:szCs w:val="20"/>
        <w:rtl w:val="0"/>
      </w:rPr>
      <w:t>452/16</w:t>
    </w:r>
  </w:p>
  <w:p>
    <w:pPr>
      <w:pStyle w:val="Zaglavlje"/>
      <w:pBdr>
        <w:top w:val="nil"/>
        <w:left w:val="nil"/>
        <w:bottom w:val="single" w:color="000000" w:sz="12" w:space="0" w:shadow="0" w:frame="0"/>
        <w:right w:val="nil"/>
      </w:pBdr>
      <w:tabs>
        <w:tab w:val="right" w:pos="9044"/>
        <w:tab w:val="clear" w:pos="9072"/>
      </w:tabs>
      <w:jc w:val="center"/>
      <w:rPr>
        <w:rFonts w:ascii="Tahoma" w:cs="Tahoma" w:hAnsi="Tahoma" w:eastAsia="Tahoma"/>
        <w:sz w:val="20"/>
        <w:szCs w:val="20"/>
      </w:rPr>
    </w:pPr>
    <w:r>
      <w:rPr>
        <w:rFonts w:ascii="Tahoma" w:hAnsi="Tahoma"/>
        <w:sz w:val="20"/>
        <w:szCs w:val="20"/>
        <w:rtl w:val="0"/>
      </w:rPr>
      <w:t>Mob: 099 312 4155</w:t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irani stil 1"/>
  </w:abstractNum>
  <w:abstractNum w:abstractNumId="1">
    <w:multiLevelType w:val="hybridMultilevel"/>
    <w:styleLink w:val="Importirani stil 1"/>
    <w:lvl w:ilvl="0">
      <w:start w:val="1"/>
      <w:numFmt w:val="upperLetter"/>
      <w:suff w:val="tab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irani stil 2"/>
  </w:abstractNum>
  <w:abstractNum w:abstractNumId="3">
    <w:multiLevelType w:val="hybridMultilevel"/>
    <w:styleLink w:val="Importirani stil 2"/>
    <w:lvl w:ilvl="0">
      <w:start w:val="1"/>
      <w:numFmt w:val="decimal"/>
      <w:suff w:val="tab"/>
      <w:lvlText w:val="%1."/>
      <w:lvlJc w:val="left"/>
      <w:pPr>
        <w:ind w:left="502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222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942" w:hanging="30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662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382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102" w:hanging="30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822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542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262" w:hanging="30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Brojčano"/>
  </w:abstractNum>
  <w:abstractNum w:abstractNumId="5">
    <w:multiLevelType w:val="hybridMultilevel"/>
    <w:styleLink w:val="Brojčano"/>
    <w:lvl w:ilvl="0">
      <w:start w:val="1"/>
      <w:numFmt w:val="decimal"/>
      <w:suff w:val="tab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Importirani stil 3"/>
  </w:abstractNum>
  <w:abstractNum w:abstractNumId="7">
    <w:multiLevelType w:val="hybridMultilevel"/>
    <w:styleLink w:val="Importirani stil 3"/>
    <w:lvl w:ilvl="0">
      <w:start w:val="1"/>
      <w:numFmt w:val="bullet"/>
      <w:suff w:val="tab"/>
      <w:lvlText w:val="▪"/>
      <w:lvlJc w:val="left"/>
      <w:pPr>
        <w:ind w:left="7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2"/>
    <w:lvlOverride w:ilvl="0">
      <w:startOverride w:val="2"/>
    </w:lvlOverride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hrvatski" w:val="‘“(〔[{〈《「『【⦅〘〖«〝︵︷︹︻︽︿﹁﹃﹇﹙﹛﹝｢"/>
  <w:noLineBreaksBefore w:lang="hrvat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Zaglavlje">
    <w:name w:val="Zaglavlje"/>
    <w:next w:val="Zaglavlje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Podnožje">
    <w:name w:val="Podnožje"/>
    <w:next w:val="Podnožje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numbering" w:styleId="Importirani stil 1">
    <w:name w:val="Importirani stil 1"/>
    <w:pPr>
      <w:numPr>
        <w:numId w:val="1"/>
      </w:numPr>
    </w:pPr>
  </w:style>
  <w:style w:type="numbering" w:styleId="Importirani stil 2">
    <w:name w:val="Importirani stil 2"/>
    <w:pPr>
      <w:numPr>
        <w:numId w:val="3"/>
      </w:numPr>
    </w:pPr>
  </w:style>
  <w:style w:type="numbering" w:styleId="Brojčano">
    <w:name w:val="Brojčano"/>
    <w:pPr>
      <w:numPr>
        <w:numId w:val="5"/>
      </w:numPr>
    </w:pPr>
  </w:style>
  <w:style w:type="numbering" w:styleId="Importirani stil 3">
    <w:name w:val="Importirani stil 3"/>
    <w:pPr>
      <w:numPr>
        <w:numId w:val="8"/>
      </w:numPr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